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40" w:rsidRDefault="00D96E40" w:rsidP="00D96E40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2016год</w:t>
      </w:r>
    </w:p>
    <w:p w:rsidR="00D96E40" w:rsidRDefault="00D96E40" w:rsidP="00D96E40">
      <w:pPr>
        <w:jc w:val="center"/>
        <w:rPr>
          <w:sz w:val="20"/>
          <w:szCs w:val="20"/>
        </w:rPr>
      </w:pPr>
    </w:p>
    <w:tbl>
      <w:tblPr>
        <w:tblStyle w:val="a3"/>
        <w:tblW w:w="1049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417"/>
        <w:gridCol w:w="2977"/>
      </w:tblGrid>
      <w:tr w:rsidR="00D96E40" w:rsidTr="00E21D69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D96E40" w:rsidRDefault="00D96E40" w:rsidP="006C2757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96E40" w:rsidRDefault="00D96E40" w:rsidP="006C2757">
            <w:pPr>
              <w:spacing w:after="200" w:line="276" w:lineRule="auto"/>
            </w:pPr>
            <w:r>
              <w:t>Отчетный период</w:t>
            </w:r>
          </w:p>
        </w:tc>
      </w:tr>
      <w:tr w:rsidR="00D96E40" w:rsidTr="00E21D69">
        <w:trPr>
          <w:trHeight w:val="1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40" w:rsidRDefault="00D96E40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40" w:rsidRDefault="00D96E40" w:rsidP="006C27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 (</w:t>
            </w:r>
            <w:proofErr w:type="spellStart"/>
            <w:r>
              <w:rPr>
                <w:b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 (</w:t>
            </w:r>
            <w:proofErr w:type="spellStart"/>
            <w:r>
              <w:rPr>
                <w:b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sz w:val="20"/>
                <w:szCs w:val="20"/>
              </w:rPr>
              <w:t>.)</w:t>
            </w:r>
          </w:p>
        </w:tc>
      </w:tr>
      <w:tr w:rsidR="00D96E40" w:rsidTr="00E21D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</w:tr>
      <w:tr w:rsidR="00D96E40" w:rsidTr="00E21D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0" w:rsidRDefault="00D96E40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0" w:rsidRDefault="00D96E40" w:rsidP="006C275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0" w:rsidRDefault="00D96E40" w:rsidP="006C275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96E40" w:rsidTr="00E21D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D96E40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Платежи и взносы собственников за жилое помещение,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133937" w:rsidP="006C2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40" w:rsidRDefault="002B0633" w:rsidP="006C2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</w:t>
            </w:r>
          </w:p>
        </w:tc>
      </w:tr>
      <w:tr w:rsidR="00133937" w:rsidTr="00E21D69">
        <w:trPr>
          <w:trHeight w:val="9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2645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2645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текущего ремонта (резервный фонд)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26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8F5F22" w:rsidP="0026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254,70</w:t>
            </w:r>
            <w:bookmarkStart w:id="0" w:name="_GoBack"/>
            <w:bookmarkEnd w:id="0"/>
          </w:p>
        </w:tc>
      </w:tr>
      <w:tr w:rsidR="00133937" w:rsidTr="00E21D69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sz w:val="20"/>
                <w:szCs w:val="20"/>
              </w:rPr>
            </w:pPr>
          </w:p>
        </w:tc>
      </w:tr>
      <w:tr w:rsidR="00133937" w:rsidTr="00E21D69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Pr="001C2878" w:rsidRDefault="00133937" w:rsidP="006C2757">
            <w:pPr>
              <w:rPr>
                <w:sz w:val="22"/>
                <w:szCs w:val="22"/>
              </w:rPr>
            </w:pPr>
            <w:r w:rsidRPr="001C2878">
              <w:rPr>
                <w:sz w:val="22"/>
                <w:szCs w:val="22"/>
              </w:rPr>
              <w:t xml:space="preserve">Расходы по содержанию общего имущества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sz w:val="20"/>
                <w:szCs w:val="20"/>
              </w:rPr>
            </w:pPr>
          </w:p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sz w:val="20"/>
                <w:szCs w:val="20"/>
              </w:rPr>
            </w:pPr>
          </w:p>
          <w:p w:rsidR="00133937" w:rsidRDefault="00133937" w:rsidP="006C2757">
            <w:pPr>
              <w:jc w:val="center"/>
              <w:rPr>
                <w:sz w:val="20"/>
                <w:szCs w:val="20"/>
              </w:rPr>
            </w:pP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>.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2326,3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2360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расчетное обслуживание (ИП Чистякова)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сре</w:t>
            </w:r>
            <w:proofErr w:type="gramStart"/>
            <w:r>
              <w:rPr>
                <w:b w:val="0"/>
                <w:sz w:val="20"/>
                <w:szCs w:val="20"/>
              </w:rPr>
              <w:t>дств св</w:t>
            </w:r>
            <w:proofErr w:type="gramEnd"/>
            <w:r>
              <w:rPr>
                <w:b w:val="0"/>
                <w:sz w:val="20"/>
                <w:szCs w:val="20"/>
              </w:rPr>
              <w:t>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7C5C8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9,5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Pr="001C2878" w:rsidRDefault="00133937" w:rsidP="006C2757">
            <w:pPr>
              <w:rPr>
                <w:b w:val="0"/>
                <w:sz w:val="18"/>
                <w:szCs w:val="18"/>
              </w:rPr>
            </w:pPr>
            <w:r w:rsidRPr="001C2878">
              <w:rPr>
                <w:b w:val="0"/>
                <w:sz w:val="18"/>
                <w:szCs w:val="18"/>
              </w:rPr>
              <w:t>-  услуги банко</w:t>
            </w:r>
            <w:proofErr w:type="gramStart"/>
            <w:r w:rsidRPr="001C2878">
              <w:rPr>
                <w:b w:val="0"/>
                <w:sz w:val="18"/>
                <w:szCs w:val="18"/>
              </w:rPr>
              <w:t>в(</w:t>
            </w:r>
            <w:proofErr w:type="gramEnd"/>
            <w:r w:rsidRPr="001C2878">
              <w:rPr>
                <w:b w:val="0"/>
                <w:sz w:val="18"/>
                <w:szCs w:val="18"/>
              </w:rPr>
              <w:t>СКБ-</w:t>
            </w:r>
            <w:proofErr w:type="spellStart"/>
            <w:r w:rsidRPr="001C2878">
              <w:rPr>
                <w:b w:val="0"/>
                <w:sz w:val="18"/>
                <w:szCs w:val="18"/>
              </w:rPr>
              <w:t>банк,УБРиР,Сбербанк</w:t>
            </w:r>
            <w:proofErr w:type="spellEnd"/>
            <w:r w:rsidRPr="001C2878">
              <w:rPr>
                <w:b w:val="0"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 xml:space="preserve">    </w:t>
            </w:r>
            <w:r w:rsidRPr="001C2878">
              <w:rPr>
                <w:b w:val="0"/>
                <w:sz w:val="18"/>
                <w:szCs w:val="18"/>
              </w:rPr>
              <w:t>комиссия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147,9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услуги банка (ведение счета)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30,3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страхование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3,0</w:t>
            </w:r>
          </w:p>
        </w:tc>
      </w:tr>
      <w:tr w:rsidR="00133937" w:rsidTr="00E21D69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E1F2E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133937">
              <w:rPr>
                <w:b w:val="0"/>
                <w:sz w:val="20"/>
                <w:szCs w:val="20"/>
              </w:rPr>
              <w:t>2,1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хоз</w:t>
            </w:r>
            <w:proofErr w:type="gramStart"/>
            <w:r>
              <w:rPr>
                <w:b w:val="0"/>
                <w:sz w:val="20"/>
                <w:szCs w:val="20"/>
              </w:rPr>
              <w:t>.т</w:t>
            </w:r>
            <w:proofErr w:type="gramEnd"/>
            <w:r>
              <w:rPr>
                <w:b w:val="0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E1F2E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133937">
              <w:rPr>
                <w:b w:val="0"/>
                <w:sz w:val="20"/>
                <w:szCs w:val="20"/>
              </w:rPr>
              <w:t>,7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техническое освидетельствование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24,4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аварийное облуживание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4,3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вывоз мусора (Спецавтобаза)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195,6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дез</w:t>
            </w:r>
            <w:proofErr w:type="gramStart"/>
            <w:r>
              <w:rPr>
                <w:b w:val="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sz w:val="20"/>
                <w:szCs w:val="20"/>
              </w:rPr>
              <w:t>танция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9,1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обслуживания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771,1</w:t>
            </w:r>
          </w:p>
        </w:tc>
      </w:tr>
      <w:tr w:rsidR="00133937" w:rsidTr="00E21D69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покос травы, 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745B12" w:rsidP="00F90B8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41,2</w:t>
            </w:r>
          </w:p>
        </w:tc>
      </w:tr>
      <w:tr w:rsidR="00133937" w:rsidTr="00E21D69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текущий ремонт инженерных сетей (</w:t>
            </w:r>
            <w:proofErr w:type="gramStart"/>
            <w:r>
              <w:rPr>
                <w:b w:val="0"/>
                <w:sz w:val="20"/>
                <w:szCs w:val="20"/>
              </w:rPr>
              <w:t>сантехнические</w:t>
            </w:r>
            <w:proofErr w:type="gramEnd"/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E1F2E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4</w:t>
            </w:r>
            <w:r w:rsidR="00133937">
              <w:rPr>
                <w:b w:val="0"/>
                <w:sz w:val="20"/>
                <w:szCs w:val="20"/>
              </w:rPr>
              <w:t>9,9</w:t>
            </w:r>
          </w:p>
        </w:tc>
      </w:tr>
      <w:tr w:rsidR="00133937" w:rsidTr="00E21D69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E93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тепловизионное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обследование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33937" w:rsidTr="00E21D69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883C1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28,7</w:t>
            </w:r>
          </w:p>
        </w:tc>
      </w:tr>
      <w:tr w:rsidR="00133937" w:rsidTr="00E21D69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ремонт ротора лифта грузового 2 под.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25,3</w:t>
            </w:r>
          </w:p>
        </w:tc>
      </w:tr>
      <w:tr w:rsidR="00133937" w:rsidTr="00E21D69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договор на </w:t>
            </w:r>
            <w:proofErr w:type="spellStart"/>
            <w:r>
              <w:rPr>
                <w:b w:val="0"/>
                <w:sz w:val="20"/>
                <w:szCs w:val="20"/>
              </w:rPr>
              <w:t>спец</w:t>
            </w:r>
            <w:proofErr w:type="gramStart"/>
            <w:r>
              <w:rPr>
                <w:b w:val="0"/>
                <w:sz w:val="20"/>
                <w:szCs w:val="20"/>
              </w:rPr>
              <w:t>.о</w:t>
            </w:r>
            <w:proofErr w:type="gramEnd"/>
            <w:r>
              <w:rPr>
                <w:b w:val="0"/>
                <w:sz w:val="20"/>
                <w:szCs w:val="20"/>
              </w:rPr>
              <w:t>ценку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13,5</w:t>
            </w:r>
          </w:p>
        </w:tc>
      </w:tr>
      <w:tr w:rsidR="00133937" w:rsidTr="00E21D69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и ремонт дворового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35,7</w:t>
            </w:r>
          </w:p>
        </w:tc>
      </w:tr>
      <w:tr w:rsidR="00133937" w:rsidTr="00E21D69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контрольные проверки поквартирных счетчиков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44,6</w:t>
            </w:r>
          </w:p>
        </w:tc>
      </w:tr>
      <w:tr w:rsidR="00133937" w:rsidTr="00E21D69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32,9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Pr="00BA0BAE" w:rsidRDefault="00133937" w:rsidP="006C2757">
            <w:pPr>
              <w:rPr>
                <w:b w:val="0"/>
                <w:sz w:val="20"/>
                <w:szCs w:val="20"/>
              </w:rPr>
            </w:pPr>
            <w:r w:rsidRPr="00BA0BAE">
              <w:rPr>
                <w:b w:val="0"/>
                <w:sz w:val="20"/>
                <w:szCs w:val="20"/>
              </w:rPr>
              <w:t>- утилизация энергосберегающих ламп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2,4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Pr="00BA0BAE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информационно-консультационные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Pr="00BA0BAE" w:rsidRDefault="00133937" w:rsidP="006C2757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25,8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Pr="00BA0BAE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обновление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25,3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оргтехника (приобретение, 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5,6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расходы на проведение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10,6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договор на работы по содержанию несущих и ненесущих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72,0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договор обслуживания систем противопожарной защиты (ИП Макаров)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84,0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Претензионная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</w:t>
            </w:r>
          </w:p>
        </w:tc>
      </w:tr>
      <w:tr w:rsidR="00133937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резерв на отпуск, 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 w:val="0"/>
                <w:sz w:val="20"/>
                <w:szCs w:val="20"/>
              </w:rPr>
              <w:t>соц</w:t>
            </w:r>
            <w:proofErr w:type="gramStart"/>
            <w:r>
              <w:rPr>
                <w:b w:val="0"/>
                <w:sz w:val="20"/>
                <w:szCs w:val="20"/>
              </w:rPr>
              <w:t>.н</w:t>
            </w:r>
            <w:proofErr w:type="gramEnd"/>
            <w:r>
              <w:rPr>
                <w:b w:val="0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7" w:rsidRDefault="00133937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146,0</w:t>
            </w:r>
          </w:p>
        </w:tc>
      </w:tr>
      <w:tr w:rsidR="00EB79DF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F" w:rsidRDefault="00EB79DF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F" w:rsidRPr="00D655E8" w:rsidRDefault="00EB79DF" w:rsidP="00460BE2">
            <w:pPr>
              <w:rPr>
                <w:b w:val="0"/>
                <w:sz w:val="20"/>
                <w:szCs w:val="20"/>
              </w:rPr>
            </w:pPr>
            <w:r w:rsidRPr="00D655E8"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 w:rsidRPr="00D655E8">
              <w:rPr>
                <w:b w:val="0"/>
                <w:sz w:val="20"/>
                <w:szCs w:val="20"/>
              </w:rPr>
              <w:t>санэкспертиза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F" w:rsidRDefault="00EB79DF" w:rsidP="004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DF" w:rsidRPr="00D655E8" w:rsidRDefault="00EB79DF" w:rsidP="00460BE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58,3</w:t>
            </w: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745B12" w:rsidRDefault="00745B12" w:rsidP="00745B1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460BE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D655E8" w:rsidRDefault="00745B12" w:rsidP="00460BE2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047D63" w:rsidRDefault="00745B12" w:rsidP="006C2757">
            <w:pPr>
              <w:rPr>
                <w:sz w:val="20"/>
                <w:szCs w:val="20"/>
              </w:rPr>
            </w:pPr>
            <w:r w:rsidRPr="00047D6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047D63" w:rsidRDefault="00745B12" w:rsidP="006C2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047D63" w:rsidRDefault="00745B12" w:rsidP="006C2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4874,8</w:t>
            </w: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047D63" w:rsidRDefault="00745B12" w:rsidP="006C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047D63" w:rsidRDefault="00745B12" w:rsidP="006C2757">
            <w:pPr>
              <w:jc w:val="center"/>
              <w:rPr>
                <w:sz w:val="20"/>
                <w:szCs w:val="20"/>
              </w:rPr>
            </w:pP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55E8">
              <w:rPr>
                <w:b w:val="0"/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D655E8" w:rsidRDefault="00745B12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65,5</w:t>
            </w: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745B12" w:rsidRDefault="00745B12" w:rsidP="00460BE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вынос точек в натуру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460BE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D655E8" w:rsidRDefault="00745B12" w:rsidP="00460BE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12,6</w:t>
            </w: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D655E8" w:rsidRDefault="00745B12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судебные издержки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система оповещения в офисе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54,8</w:t>
            </w: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Pr="00745B12" w:rsidRDefault="00745B12" w:rsidP="00745B12">
            <w:pPr>
              <w:rPr>
                <w:b w:val="0"/>
                <w:sz w:val="20"/>
                <w:szCs w:val="20"/>
              </w:rPr>
            </w:pPr>
            <w:r w:rsidRPr="00745B12">
              <w:rPr>
                <w:b w:val="0"/>
                <w:sz w:val="20"/>
                <w:szCs w:val="20"/>
              </w:rPr>
              <w:t>- потери по общедомовым нуждам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257,96</w:t>
            </w:r>
          </w:p>
        </w:tc>
      </w:tr>
      <w:tr w:rsidR="00745B12" w:rsidTr="002645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26451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  3.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26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Фонд на ремонт системы дымоудаления и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26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26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</w:t>
            </w:r>
          </w:p>
        </w:tc>
      </w:tr>
      <w:tr w:rsidR="00745B12" w:rsidTr="00E21D69">
        <w:trPr>
          <w:trHeight w:val="1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2" w:rsidRDefault="00745B12" w:rsidP="006C275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45B12" w:rsidTr="00E21D69">
        <w:trPr>
          <w:trHeight w:val="13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12" w:rsidRDefault="00745B12" w:rsidP="00133937">
            <w:proofErr w:type="spellStart"/>
            <w:r>
              <w:t>Справочно</w:t>
            </w:r>
            <w:proofErr w:type="spellEnd"/>
            <w:r>
              <w:t xml:space="preserve">: </w:t>
            </w:r>
          </w:p>
          <w:p w:rsidR="00745B12" w:rsidRDefault="00745B12" w:rsidP="00133937"/>
          <w:p w:rsidR="00745B12" w:rsidRPr="00E21D69" w:rsidRDefault="00745B12" w:rsidP="00E93E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21D69">
              <w:rPr>
                <w:rFonts w:ascii="Times New Roman" w:hAnsi="Times New Roman" w:cs="Times New Roman"/>
                <w:b w:val="0"/>
              </w:rPr>
              <w:t xml:space="preserve">В 2016 году был получен доход от хозяйственно-финансовой деятельности в размере 1 000 </w:t>
            </w:r>
            <w:proofErr w:type="spellStart"/>
            <w:r w:rsidRPr="00E21D69">
              <w:rPr>
                <w:rFonts w:ascii="Times New Roman" w:hAnsi="Times New Roman" w:cs="Times New Roman"/>
                <w:b w:val="0"/>
              </w:rPr>
              <w:t>тыс</w:t>
            </w:r>
            <w:proofErr w:type="gramStart"/>
            <w:r w:rsidRPr="00E21D69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E21D69">
              <w:rPr>
                <w:rFonts w:ascii="Times New Roman" w:hAnsi="Times New Roman" w:cs="Times New Roman"/>
                <w:b w:val="0"/>
              </w:rPr>
              <w:t>уб</w:t>
            </w:r>
            <w:proofErr w:type="spellEnd"/>
            <w:r w:rsidRPr="00E21D69">
              <w:rPr>
                <w:rFonts w:ascii="Times New Roman" w:hAnsi="Times New Roman" w:cs="Times New Roman"/>
                <w:b w:val="0"/>
              </w:rPr>
              <w:t>.</w:t>
            </w:r>
            <w:r w:rsidR="00E93E0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21D69">
              <w:rPr>
                <w:rFonts w:ascii="Times New Roman" w:hAnsi="Times New Roman" w:cs="Times New Roman"/>
                <w:b w:val="0"/>
              </w:rPr>
              <w:t>(аренда парикмахерской, аренда крыш, сбор средств за дополнительную площадь, оплата  парковочных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21D69">
              <w:rPr>
                <w:rFonts w:ascii="Times New Roman" w:hAnsi="Times New Roman" w:cs="Times New Roman"/>
                <w:b w:val="0"/>
              </w:rPr>
              <w:t>мест).</w:t>
            </w:r>
          </w:p>
          <w:p w:rsidR="00745B12" w:rsidRPr="00E21D69" w:rsidRDefault="00745B12" w:rsidP="00E93E0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21D69">
              <w:rPr>
                <w:rFonts w:ascii="Times New Roman" w:hAnsi="Times New Roman" w:cs="Times New Roman"/>
                <w:b w:val="0"/>
              </w:rPr>
              <w:t xml:space="preserve">За счет этих средств были проведены следующие работы: проведены праздничные мероприятия, </w:t>
            </w:r>
          </w:p>
          <w:p w:rsidR="00745B12" w:rsidRPr="00E21D69" w:rsidRDefault="00745B12" w:rsidP="00E93E0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21D69">
              <w:rPr>
                <w:rFonts w:ascii="Times New Roman" w:hAnsi="Times New Roman" w:cs="Times New Roman"/>
                <w:b w:val="0"/>
              </w:rPr>
              <w:t xml:space="preserve">проведена генеральная уборка земельного участка и подъездов после зимнего периода, проводилось озеленение двора, проводился контроль по размещению автомобилей, был выполнен </w:t>
            </w:r>
            <w:r w:rsidRPr="00745B12">
              <w:rPr>
                <w:rFonts w:ascii="Times New Roman" w:hAnsi="Times New Roman" w:cs="Times New Roman"/>
                <w:b w:val="0"/>
              </w:rPr>
              <w:t xml:space="preserve">проект по заезду со стороны </w:t>
            </w:r>
            <w:proofErr w:type="spellStart"/>
            <w:r w:rsidRPr="00745B12">
              <w:rPr>
                <w:rFonts w:ascii="Times New Roman" w:hAnsi="Times New Roman" w:cs="Times New Roman"/>
                <w:b w:val="0"/>
              </w:rPr>
              <w:t>ул</w:t>
            </w:r>
            <w:proofErr w:type="gramStart"/>
            <w:r w:rsidRPr="00745B12">
              <w:rPr>
                <w:rFonts w:ascii="Times New Roman" w:hAnsi="Times New Roman" w:cs="Times New Roman"/>
                <w:b w:val="0"/>
              </w:rPr>
              <w:t>.К</w:t>
            </w:r>
            <w:proofErr w:type="gramEnd"/>
            <w:r w:rsidRPr="00745B12">
              <w:rPr>
                <w:rFonts w:ascii="Times New Roman" w:hAnsi="Times New Roman" w:cs="Times New Roman"/>
                <w:b w:val="0"/>
              </w:rPr>
              <w:t>рестинского</w:t>
            </w:r>
            <w:proofErr w:type="spellEnd"/>
            <w:r w:rsidRPr="00745B12">
              <w:rPr>
                <w:rFonts w:ascii="Times New Roman" w:hAnsi="Times New Roman" w:cs="Times New Roman"/>
                <w:b w:val="0"/>
              </w:rPr>
              <w:t xml:space="preserve">, выполнены работы по заезду со стороны </w:t>
            </w:r>
            <w:proofErr w:type="spellStart"/>
            <w:r w:rsidRPr="00745B12">
              <w:rPr>
                <w:rFonts w:ascii="Times New Roman" w:hAnsi="Times New Roman" w:cs="Times New Roman"/>
                <w:b w:val="0"/>
              </w:rPr>
              <w:t>ул.Крестинского</w:t>
            </w:r>
            <w:proofErr w:type="spellEnd"/>
            <w:r w:rsidRPr="00745B12">
              <w:rPr>
                <w:rFonts w:ascii="Times New Roman" w:hAnsi="Times New Roman" w:cs="Times New Roman"/>
                <w:b w:val="0"/>
              </w:rPr>
              <w:t>, проведен частичный монтаж забора с внутренней части двора, выплачено вознаграждение членам ревизионной комиссии и членам правления по итогам года, погашалась задолженность перед поставщиками коммунальных услуг.</w:t>
            </w:r>
          </w:p>
          <w:p w:rsidR="00745B12" w:rsidRPr="00AE6C4C" w:rsidRDefault="00745B12" w:rsidP="00E21D69">
            <w:pPr>
              <w:pStyle w:val="a4"/>
              <w:spacing w:after="200" w:line="276" w:lineRule="auto"/>
              <w:ind w:left="502"/>
              <w:rPr>
                <w:rFonts w:ascii="Times New Roman" w:hAnsi="Times New Roman" w:cs="Times New Roman"/>
              </w:rPr>
            </w:pPr>
          </w:p>
          <w:p w:rsidR="00745B12" w:rsidRPr="00E21D69" w:rsidRDefault="00745B12" w:rsidP="00E21D69">
            <w:pPr>
              <w:spacing w:after="200" w:line="276" w:lineRule="auto"/>
              <w:ind w:left="-534" w:right="743"/>
              <w:rPr>
                <w:rFonts w:ascii="Times New Roman" w:hAnsi="Times New Roman" w:cs="Times New Roman"/>
              </w:rPr>
            </w:pPr>
          </w:p>
          <w:p w:rsidR="00745B12" w:rsidRDefault="00745B12" w:rsidP="00133937">
            <w:pPr>
              <w:ind w:right="743"/>
              <w:rPr>
                <w:b w:val="0"/>
                <w:sz w:val="20"/>
                <w:szCs w:val="20"/>
              </w:rPr>
            </w:pPr>
          </w:p>
          <w:p w:rsidR="00745B12" w:rsidRDefault="00745B12" w:rsidP="00133937">
            <w:pPr>
              <w:rPr>
                <w:b w:val="0"/>
                <w:sz w:val="20"/>
                <w:szCs w:val="20"/>
              </w:rPr>
            </w:pPr>
          </w:p>
          <w:p w:rsidR="00745B12" w:rsidRDefault="00745B12" w:rsidP="00133937">
            <w:pPr>
              <w:rPr>
                <w:b w:val="0"/>
                <w:sz w:val="20"/>
                <w:szCs w:val="20"/>
              </w:rPr>
            </w:pPr>
          </w:p>
          <w:p w:rsidR="00745B12" w:rsidRDefault="00745B12" w:rsidP="00133937">
            <w:pPr>
              <w:rPr>
                <w:b w:val="0"/>
                <w:sz w:val="20"/>
                <w:szCs w:val="20"/>
              </w:rPr>
            </w:pPr>
          </w:p>
          <w:p w:rsidR="00745B12" w:rsidRDefault="00745B12" w:rsidP="00133937">
            <w:pPr>
              <w:rPr>
                <w:b w:val="0"/>
                <w:sz w:val="20"/>
                <w:szCs w:val="20"/>
              </w:rPr>
            </w:pPr>
          </w:p>
        </w:tc>
      </w:tr>
    </w:tbl>
    <w:p w:rsidR="00D96E40" w:rsidRDefault="00D96E40" w:rsidP="00D96E40"/>
    <w:p w:rsidR="00D96E40" w:rsidRDefault="00D96E40" w:rsidP="00D96E40"/>
    <w:p w:rsidR="00D96E40" w:rsidRDefault="005A6041" w:rsidP="00D96E40">
      <w:pPr>
        <w:numPr>
          <w:ilvl w:val="0"/>
          <w:numId w:val="1"/>
        </w:numPr>
      </w:pPr>
      <w:r>
        <w:t>Задолженность на 01.01.2016.  -  1 722 600,73</w:t>
      </w:r>
      <w:r w:rsidR="00D96E40">
        <w:t xml:space="preserve"> руб.</w:t>
      </w:r>
    </w:p>
    <w:p w:rsidR="00D96E40" w:rsidRDefault="001E1F2E" w:rsidP="00D96E40">
      <w:pPr>
        <w:numPr>
          <w:ilvl w:val="0"/>
          <w:numId w:val="1"/>
        </w:numPr>
      </w:pPr>
      <w:r>
        <w:t>Начислено за 2016 год –  16 393 388,56</w:t>
      </w:r>
      <w:r w:rsidR="00D96E40">
        <w:t xml:space="preserve"> руб.</w:t>
      </w:r>
    </w:p>
    <w:p w:rsidR="00D96E40" w:rsidRDefault="005A6041" w:rsidP="00D96E40">
      <w:pPr>
        <w:numPr>
          <w:ilvl w:val="0"/>
          <w:numId w:val="1"/>
        </w:numPr>
      </w:pPr>
      <w:r>
        <w:t>Оплачено за 2016 год –  15 490 306,59</w:t>
      </w:r>
      <w:r w:rsidR="00D96E40">
        <w:t xml:space="preserve"> руб.</w:t>
      </w:r>
    </w:p>
    <w:p w:rsidR="00D96E40" w:rsidRDefault="005A6041" w:rsidP="00D96E40">
      <w:pPr>
        <w:numPr>
          <w:ilvl w:val="0"/>
          <w:numId w:val="1"/>
        </w:numPr>
      </w:pPr>
      <w:r>
        <w:t>Сальдо на 01.01.2017</w:t>
      </w:r>
      <w:r w:rsidR="00D96E40">
        <w:t>.</w:t>
      </w:r>
      <w:r>
        <w:t>(задолженность) –  2 625 682,70</w:t>
      </w:r>
      <w:r w:rsidR="00D96E40">
        <w:t xml:space="preserve"> руб.</w:t>
      </w:r>
    </w:p>
    <w:p w:rsidR="00D96E40" w:rsidRDefault="005A6041" w:rsidP="00D96E40">
      <w:pPr>
        <w:numPr>
          <w:ilvl w:val="0"/>
          <w:numId w:val="1"/>
        </w:numPr>
      </w:pPr>
      <w:r>
        <w:t>Оплачено поставщикам</w:t>
      </w:r>
      <w:proofErr w:type="gramStart"/>
      <w:r>
        <w:t xml:space="preserve"> :</w:t>
      </w:r>
      <w:proofErr w:type="gramEnd"/>
    </w:p>
    <w:p w:rsidR="00D96E40" w:rsidRDefault="00D96E40" w:rsidP="00D96E40">
      <w:pPr>
        <w:ind w:left="720"/>
      </w:pPr>
      <w:r>
        <w:t xml:space="preserve">- </w:t>
      </w:r>
      <w:r w:rsidR="005A6041">
        <w:t>от</w:t>
      </w:r>
      <w:r w:rsidR="001E1F2E">
        <w:t xml:space="preserve">опление и ГВС –   </w:t>
      </w:r>
      <w:r w:rsidR="00561FC0">
        <w:t>7 067 919,</w:t>
      </w:r>
      <w:r w:rsidR="005A6041">
        <w:t xml:space="preserve"> </w:t>
      </w:r>
      <w:r>
        <w:t xml:space="preserve">руб.                             </w:t>
      </w:r>
    </w:p>
    <w:p w:rsidR="00D96E40" w:rsidRDefault="00D96E40" w:rsidP="00D96E40">
      <w:pPr>
        <w:ind w:left="720"/>
      </w:pPr>
      <w:r>
        <w:t>- холодное водоснабжение</w:t>
      </w:r>
      <w:r w:rsidR="005A6041">
        <w:t xml:space="preserve"> и </w:t>
      </w:r>
      <w:r w:rsidR="00AD7F04">
        <w:t>водоотведение  -  1 410 091</w:t>
      </w:r>
      <w:r>
        <w:t xml:space="preserve"> руб.</w:t>
      </w:r>
    </w:p>
    <w:p w:rsidR="00D96E40" w:rsidRDefault="005A6041" w:rsidP="00D96E40">
      <w:pPr>
        <w:ind w:left="720"/>
      </w:pPr>
      <w:r>
        <w:t>- эл</w:t>
      </w:r>
      <w:r w:rsidR="00561FC0">
        <w:t>ектроэнергия  - 1 398 382</w:t>
      </w:r>
      <w:r w:rsidR="00D96E40">
        <w:t xml:space="preserve"> руб.</w:t>
      </w:r>
    </w:p>
    <w:p w:rsidR="00D96E40" w:rsidRDefault="00D96E40" w:rsidP="00D96E40">
      <w:r>
        <w:t xml:space="preserve">      6. Поступило платежей от жильцов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D96E40" w:rsidRDefault="00D96E40" w:rsidP="00D96E40">
      <w:pPr>
        <w:ind w:left="720"/>
      </w:pPr>
      <w:r>
        <w:t>-</w:t>
      </w:r>
      <w:r w:rsidR="00440E33">
        <w:t xml:space="preserve"> отопление и ГВС –  6 876 386,15</w:t>
      </w:r>
      <w:r>
        <w:t xml:space="preserve"> руб.</w:t>
      </w:r>
    </w:p>
    <w:p w:rsidR="00D96E40" w:rsidRDefault="00D96E40" w:rsidP="00D96E40">
      <w:pPr>
        <w:ind w:left="720"/>
      </w:pPr>
      <w:r>
        <w:t xml:space="preserve">- холодное водоснабжение </w:t>
      </w:r>
      <w:r w:rsidR="00440E33">
        <w:t>и водоотведение  -  1</w:t>
      </w:r>
      <w:r w:rsidR="00271AF9">
        <w:t> </w:t>
      </w:r>
      <w:r w:rsidR="00440E33">
        <w:t>333</w:t>
      </w:r>
      <w:r w:rsidR="00271AF9">
        <w:t xml:space="preserve"> </w:t>
      </w:r>
      <w:r w:rsidR="00440E33">
        <w:t>024,84</w:t>
      </w:r>
      <w:r>
        <w:t xml:space="preserve"> руб.</w:t>
      </w:r>
    </w:p>
    <w:p w:rsidR="00D96E40" w:rsidRDefault="00D96E40" w:rsidP="00D96E40">
      <w:pPr>
        <w:ind w:left="720"/>
      </w:pPr>
      <w:r>
        <w:t xml:space="preserve">- </w:t>
      </w:r>
      <w:r w:rsidR="00440E33">
        <w:t>электроэнергия  -  1</w:t>
      </w:r>
      <w:r w:rsidR="00271AF9">
        <w:t> </w:t>
      </w:r>
      <w:r w:rsidR="00440E33">
        <w:t>355</w:t>
      </w:r>
      <w:r w:rsidR="00271AF9">
        <w:t xml:space="preserve"> </w:t>
      </w:r>
      <w:r w:rsidR="00440E33">
        <w:t>376,57</w:t>
      </w:r>
      <w:r>
        <w:t xml:space="preserve"> руб.</w:t>
      </w:r>
    </w:p>
    <w:p w:rsidR="00D96E40" w:rsidRDefault="00D96E40" w:rsidP="00D96E40"/>
    <w:p w:rsidR="00D96E40" w:rsidRDefault="00D96E40" w:rsidP="00D96E40">
      <w:pPr>
        <w:rPr>
          <w:b w:val="0"/>
        </w:rPr>
      </w:pPr>
    </w:p>
    <w:p w:rsidR="005A6041" w:rsidRPr="00271AF9" w:rsidRDefault="005A6041" w:rsidP="00E93E05">
      <w:pPr>
        <w:jc w:val="both"/>
        <w:rPr>
          <w:rFonts w:ascii="Times New Roman" w:hAnsi="Times New Roman"/>
        </w:rPr>
      </w:pPr>
      <w:r w:rsidRPr="00271AF9">
        <w:rPr>
          <w:rFonts w:ascii="Times New Roman" w:hAnsi="Times New Roman"/>
        </w:rPr>
        <w:t xml:space="preserve">ТСЖ «Уктус-3» продолжает выполнять работы по предписанию , выданному нам после проведения 31.06.2014 г. государственным инспектором </w:t>
      </w:r>
      <w:proofErr w:type="spellStart"/>
      <w:r w:rsidRPr="00271AF9">
        <w:rPr>
          <w:rFonts w:ascii="Times New Roman" w:hAnsi="Times New Roman"/>
        </w:rPr>
        <w:t>г</w:t>
      </w:r>
      <w:proofErr w:type="gramStart"/>
      <w:r w:rsidRPr="00271AF9">
        <w:rPr>
          <w:rFonts w:ascii="Times New Roman" w:hAnsi="Times New Roman"/>
        </w:rPr>
        <w:t>.Е</w:t>
      </w:r>
      <w:proofErr w:type="gramEnd"/>
      <w:r w:rsidRPr="00271AF9">
        <w:rPr>
          <w:rFonts w:ascii="Times New Roman" w:hAnsi="Times New Roman"/>
        </w:rPr>
        <w:t>катеринбурга</w:t>
      </w:r>
      <w:proofErr w:type="spellEnd"/>
      <w:r w:rsidRPr="00271AF9">
        <w:rPr>
          <w:rFonts w:ascii="Times New Roman" w:hAnsi="Times New Roman"/>
        </w:rPr>
        <w:t xml:space="preserve"> по пожарному надзору Ушаковым А.С.  плановой выездной проверки. Работы осуществляются в соответствии с разработанным правлением ТСЖ Планом мероприятий  по устранению причин и условий, способствовавших совершению административного правонарушения.</w:t>
      </w:r>
    </w:p>
    <w:p w:rsidR="005A6041" w:rsidRPr="00271AF9" w:rsidRDefault="005A6041" w:rsidP="00E93E05">
      <w:pPr>
        <w:jc w:val="both"/>
        <w:rPr>
          <w:rFonts w:ascii="Times New Roman" w:hAnsi="Times New Roman"/>
        </w:rPr>
      </w:pPr>
      <w:r w:rsidRPr="00271AF9">
        <w:rPr>
          <w:rFonts w:ascii="Times New Roman" w:hAnsi="Times New Roman"/>
        </w:rPr>
        <w:t>Правлением  велась текущая работа по содержанию имущества Товарищества.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собственниками многоквартирного дома.</w:t>
      </w:r>
    </w:p>
    <w:p w:rsidR="00D96E40" w:rsidRDefault="00D96E40" w:rsidP="00E93E05">
      <w:pPr>
        <w:jc w:val="both"/>
      </w:pPr>
    </w:p>
    <w:sectPr w:rsidR="00D96E40" w:rsidSect="002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38" w:rsidRDefault="00627538" w:rsidP="00133937">
      <w:r>
        <w:separator/>
      </w:r>
    </w:p>
  </w:endnote>
  <w:endnote w:type="continuationSeparator" w:id="0">
    <w:p w:rsidR="00627538" w:rsidRDefault="00627538" w:rsidP="0013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38" w:rsidRDefault="00627538" w:rsidP="00133937">
      <w:r>
        <w:separator/>
      </w:r>
    </w:p>
  </w:footnote>
  <w:footnote w:type="continuationSeparator" w:id="0">
    <w:p w:rsidR="00627538" w:rsidRDefault="00627538" w:rsidP="0013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17134"/>
    <w:multiLevelType w:val="hybridMultilevel"/>
    <w:tmpl w:val="BE823C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74747"/>
    <w:multiLevelType w:val="hybridMultilevel"/>
    <w:tmpl w:val="D0306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51"/>
    <w:rsid w:val="00002D18"/>
    <w:rsid w:val="00076E67"/>
    <w:rsid w:val="00095EC8"/>
    <w:rsid w:val="00103D51"/>
    <w:rsid w:val="00133937"/>
    <w:rsid w:val="00171940"/>
    <w:rsid w:val="00174C7B"/>
    <w:rsid w:val="001E1F2E"/>
    <w:rsid w:val="00271AF9"/>
    <w:rsid w:val="002B0633"/>
    <w:rsid w:val="002D7F5E"/>
    <w:rsid w:val="0043377A"/>
    <w:rsid w:val="00440E33"/>
    <w:rsid w:val="004F4F73"/>
    <w:rsid w:val="00561FC0"/>
    <w:rsid w:val="005A6041"/>
    <w:rsid w:val="0061347D"/>
    <w:rsid w:val="00627538"/>
    <w:rsid w:val="00726F19"/>
    <w:rsid w:val="00745B12"/>
    <w:rsid w:val="00787FF1"/>
    <w:rsid w:val="007B663C"/>
    <w:rsid w:val="007C5C80"/>
    <w:rsid w:val="00883C1E"/>
    <w:rsid w:val="008F54A3"/>
    <w:rsid w:val="008F5F22"/>
    <w:rsid w:val="00925A6A"/>
    <w:rsid w:val="009660FE"/>
    <w:rsid w:val="009E20A3"/>
    <w:rsid w:val="00A344F7"/>
    <w:rsid w:val="00A3785F"/>
    <w:rsid w:val="00A53DF5"/>
    <w:rsid w:val="00AD7F04"/>
    <w:rsid w:val="00B1343D"/>
    <w:rsid w:val="00C0525F"/>
    <w:rsid w:val="00C10BE5"/>
    <w:rsid w:val="00D655E8"/>
    <w:rsid w:val="00D853D4"/>
    <w:rsid w:val="00D96CA7"/>
    <w:rsid w:val="00D96E40"/>
    <w:rsid w:val="00DE4327"/>
    <w:rsid w:val="00E0678A"/>
    <w:rsid w:val="00E21D69"/>
    <w:rsid w:val="00E57E78"/>
    <w:rsid w:val="00E93E05"/>
    <w:rsid w:val="00EB79DF"/>
    <w:rsid w:val="00F316E8"/>
    <w:rsid w:val="00F86CED"/>
    <w:rsid w:val="00F90B8D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0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937"/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937"/>
    <w:rPr>
      <w:rFonts w:ascii="Arial" w:eastAsia="Times New Roman" w:hAnsi="Arial" w:cs="Arial"/>
      <w:b/>
      <w:bCs/>
      <w:color w:val="5D5D5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0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937"/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937"/>
    <w:rPr>
      <w:rFonts w:ascii="Arial" w:eastAsia="Times New Roman" w:hAnsi="Arial" w:cs="Arial"/>
      <w:b/>
      <w:bCs/>
      <w:color w:val="5D5D5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2017-03-22T09:52:00Z</cp:lastPrinted>
  <dcterms:created xsi:type="dcterms:W3CDTF">2017-02-25T10:12:00Z</dcterms:created>
  <dcterms:modified xsi:type="dcterms:W3CDTF">2017-03-23T17:31:00Z</dcterms:modified>
</cp:coreProperties>
</file>